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微软雅黑" w:hAnsi="微软雅黑" w:eastAsia="微软雅黑" w:cs="微软雅黑"/>
          <w:b/>
          <w:bCs/>
          <w:i w:val="0"/>
          <w:caps w:val="0"/>
          <w:color w:val="666666"/>
          <w:spacing w:val="0"/>
          <w:sz w:val="32"/>
          <w:szCs w:val="32"/>
          <w:lang w:val="en-US" w:eastAsia="zh-CN"/>
        </w:rPr>
      </w:pPr>
      <w:r>
        <w:rPr>
          <w:rFonts w:hint="eastAsia" w:ascii="微软雅黑" w:hAnsi="微软雅黑" w:eastAsia="微软雅黑" w:cs="微软雅黑"/>
          <w:b/>
          <w:bCs/>
          <w:i w:val="0"/>
          <w:caps w:val="0"/>
          <w:color w:val="C00000"/>
          <w:spacing w:val="0"/>
          <w:sz w:val="32"/>
          <w:szCs w:val="32"/>
          <w:lang w:val="en-US" w:eastAsia="zh-CN"/>
        </w:rPr>
        <w:t>江西省</w:t>
      </w:r>
      <w:r>
        <w:rPr>
          <w:rFonts w:hint="eastAsia" w:ascii="微软雅黑" w:hAnsi="微软雅黑" w:eastAsia="微软雅黑" w:cs="微软雅黑"/>
          <w:b/>
          <w:bCs/>
          <w:i w:val="0"/>
          <w:caps w:val="0"/>
          <w:color w:val="666666"/>
          <w:spacing w:val="0"/>
          <w:sz w:val="32"/>
          <w:szCs w:val="32"/>
          <w:lang w:val="en-US" w:eastAsia="zh-CN"/>
        </w:rPr>
        <w:t>卫生系统高级职称评审论文要求</w:t>
      </w:r>
    </w:p>
    <w:p>
      <w:pPr>
        <w:numPr>
          <w:ilvl w:val="0"/>
          <w:numId w:val="0"/>
        </w:numPr>
        <w:jc w:val="both"/>
        <w:rPr>
          <w:rFonts w:hint="eastAsia" w:ascii="微软雅黑" w:hAnsi="微软雅黑" w:eastAsia="微软雅黑" w:cs="微软雅黑"/>
          <w:b/>
          <w:bCs/>
          <w:i w:val="0"/>
          <w:caps w:val="0"/>
          <w:color w:val="666666"/>
          <w:spacing w:val="0"/>
          <w:sz w:val="32"/>
          <w:szCs w:val="32"/>
          <w:lang w:val="en-US" w:eastAsia="zh-CN"/>
        </w:rPr>
      </w:pPr>
      <w:bookmarkStart w:id="0" w:name="_GoBack"/>
      <w:bookmarkEnd w:id="0"/>
    </w:p>
    <w:p>
      <w:pPr>
        <w:numPr>
          <w:ilvl w:val="0"/>
          <w:numId w:val="0"/>
        </w:numPr>
        <w:ind w:leftChars="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8"/>
          <w:szCs w:val="28"/>
        </w:rPr>
        <w:t>　</w:t>
      </w:r>
      <w:r>
        <w:rPr>
          <w:rFonts w:hint="eastAsia" w:ascii="微软雅黑" w:hAnsi="微软雅黑" w:eastAsia="微软雅黑" w:cs="微软雅黑"/>
          <w:b w:val="0"/>
          <w:i w:val="0"/>
          <w:caps w:val="0"/>
          <w:color w:val="auto"/>
          <w:spacing w:val="0"/>
          <w:sz w:val="24"/>
          <w:szCs w:val="24"/>
          <w:lang w:val="en-US" w:eastAsia="zh-CN"/>
        </w:rPr>
        <w:t xml:space="preserve"> </w:t>
      </w:r>
      <w:r>
        <w:rPr>
          <w:rFonts w:ascii="微软雅黑" w:hAnsi="微软雅黑" w:eastAsia="微软雅黑" w:cs="微软雅黑"/>
          <w:b w:val="0"/>
          <w:i w:val="0"/>
          <w:caps w:val="0"/>
          <w:color w:val="auto"/>
          <w:spacing w:val="0"/>
          <w:sz w:val="24"/>
          <w:szCs w:val="24"/>
        </w:rPr>
        <w:t>副主任医（药、护、技)师-论文著作要求如下：取得现资格以来，正常申报具备下列条件之一，破格申报具备下列条件之二： 　　</w:t>
      </w:r>
    </w:p>
    <w:p>
      <w:pPr>
        <w:numPr>
          <w:ilvl w:val="0"/>
          <w:numId w:val="1"/>
        </w:numPr>
        <w:ind w:leftChars="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出版本专业论著1部（独撰，且在5万字以上)。 　　</w:t>
      </w:r>
    </w:p>
    <w:p>
      <w:pPr>
        <w:numPr>
          <w:ilvl w:val="0"/>
          <w:numId w:val="1"/>
        </w:numPr>
        <w:ind w:left="0" w:leftChars="0" w:firstLine="0" w:firstLineChars="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在核心期刊上发表本专业论文1篇以上（第一作者)。 　　</w:t>
      </w:r>
    </w:p>
    <w:p>
      <w:pPr>
        <w:numPr>
          <w:ilvl w:val="0"/>
          <w:numId w:val="1"/>
        </w:numPr>
        <w:ind w:left="0" w:leftChars="0" w:firstLine="0" w:firstLineChars="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在国家级期刊上发表本专业论文2篇以上（第一作者)。 　　</w:t>
      </w:r>
    </w:p>
    <w:p>
      <w:pPr>
        <w:numPr>
          <w:ilvl w:val="0"/>
          <w:numId w:val="1"/>
        </w:numPr>
        <w:ind w:left="0" w:leftChars="0" w:firstLine="0" w:firstLineChars="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在省级期刊上发表本专业论文3篇以上（第一作者)。 　　</w:t>
      </w:r>
    </w:p>
    <w:p>
      <w:pPr>
        <w:numPr>
          <w:ilvl w:val="0"/>
          <w:numId w:val="0"/>
        </w:numPr>
        <w:ind w:leftChars="0" w:firstLine="240" w:firstLineChars="10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论文、论著审核说明： 　　</w:t>
      </w:r>
    </w:p>
    <w:p>
      <w:pPr>
        <w:numPr>
          <w:ilvl w:val="0"/>
          <w:numId w:val="2"/>
        </w:numPr>
        <w:ind w:leftChars="0" w:firstLine="240" w:firstLineChars="10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送评审的论著必须是原件，送评审的论文材料只需提交包括刊物的封面、主办单位页、目录页和正文的复印件。 　　</w:t>
      </w:r>
    </w:p>
    <w:p>
      <w:pPr>
        <w:numPr>
          <w:ilvl w:val="0"/>
          <w:numId w:val="2"/>
        </w:numPr>
        <w:tabs>
          <w:tab w:val="clear" w:pos="312"/>
        </w:tabs>
        <w:ind w:left="0" w:leftChars="0" w:firstLine="240" w:firstLineChars="10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单位须对申报人员提交的学术论文在“万方数据资源系统”和“清华同方中国知网”网站进行检索验证，SCI收录检索通过ISIWebofKnowledge（国内大学图书馆一般都有入口)网页上面的WebofScience进行检索验证，并打印检索页加盖单位公章，与学术论文复印件一并作为有效证明材料使用。无法在上述主流数据网站检索到的论文原则上不作为评审专业技术资格的依据。 　</w:t>
      </w:r>
    </w:p>
    <w:p>
      <w:pPr>
        <w:numPr>
          <w:ilvl w:val="0"/>
          <w:numId w:val="2"/>
        </w:numPr>
        <w:tabs>
          <w:tab w:val="clear" w:pos="312"/>
        </w:tabs>
        <w:ind w:left="0" w:leftChars="0" w:firstLine="240" w:firstLineChars="10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申报正高级专业技术资格，网上申报的论文代表作需进行学术相似性检测，检测工作将根据个人网上申报的代表作信息，统一委托检测机构实施，检测使用“中国知网学术不端文献检测系统”，今年暂不收取检测费用。在国外专业期刊上发表的论文或外国语言类送审论文，暂不要求复制比检测，但须进行论文检索,外文论文提供中文译文。 　　</w:t>
      </w:r>
    </w:p>
    <w:p>
      <w:pPr>
        <w:numPr>
          <w:ilvl w:val="0"/>
          <w:numId w:val="2"/>
        </w:numPr>
        <w:tabs>
          <w:tab w:val="clear" w:pos="312"/>
        </w:tabs>
        <w:ind w:left="0" w:leftChars="0" w:firstLine="240" w:firstLineChars="10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申报正高级专业技术资格，论文代表作需提交《论文引用原始资料来源一览表》（附件)，评审前将组织专家到单位按《论文引用原始资料来源一览表》，随机抽取3份原始病案或资料提交评审。非临床类论文可根据实际情况提供论文原始资料。撰写论文的原始材料必须真实、可靠、可溯源。 　　</w:t>
      </w:r>
    </w:p>
    <w:p>
      <w:pPr>
        <w:numPr>
          <w:ilvl w:val="0"/>
          <w:numId w:val="2"/>
        </w:numPr>
        <w:tabs>
          <w:tab w:val="clear" w:pos="312"/>
        </w:tabs>
        <w:ind w:left="0" w:leftChars="0" w:firstLine="240" w:firstLineChars="10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以下论文不作为评审专业技术资格的论文依据。 　　</w:t>
      </w:r>
    </w:p>
    <w:p>
      <w:pPr>
        <w:numPr>
          <w:ilvl w:val="0"/>
          <w:numId w:val="3"/>
        </w:numPr>
        <w:tabs>
          <w:tab w:val="clear" w:pos="312"/>
        </w:tabs>
        <w:ind w:leftChars="10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不在“中华人民共和国国家新闻出版广电总局”官网查询范围内刊物发表的论文。 　　（2)发表在刊物增刊、内刊、专刊、特刊、论文集上的论文。 　　</w:t>
      </w:r>
    </w:p>
    <w:p>
      <w:pPr>
        <w:numPr>
          <w:ilvl w:val="0"/>
          <w:numId w:val="3"/>
        </w:numPr>
        <w:tabs>
          <w:tab w:val="clear" w:pos="312"/>
        </w:tabs>
        <w:ind w:left="210" w:leftChars="100" w:firstLine="210" w:firstLineChars="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学位论文、科普文章、介绍性文章、一般性综述、简介、问答、报导、教辅、通讯、讲话（报告)、工作总结。 　</w:t>
      </w:r>
    </w:p>
    <w:p>
      <w:pPr>
        <w:numPr>
          <w:ilvl w:val="0"/>
          <w:numId w:val="3"/>
        </w:numPr>
        <w:tabs>
          <w:tab w:val="clear" w:pos="312"/>
        </w:tabs>
        <w:ind w:left="210" w:leftChars="100" w:firstLine="0" w:firstLineChars="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凡在国家新闻出版广电总局和省级新闻出版行政部门通报确定的违法刊物、盗用刊号刊物、盗版印刷刊物等刊物上刊发的论文。 　　</w:t>
      </w:r>
    </w:p>
    <w:p>
      <w:pPr>
        <w:numPr>
          <w:ilvl w:val="0"/>
          <w:numId w:val="3"/>
        </w:numPr>
        <w:tabs>
          <w:tab w:val="clear" w:pos="312"/>
        </w:tabs>
        <w:ind w:left="210" w:leftChars="100" w:firstLine="0" w:firstLineChars="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不是以第一作者署名发表的论文。 　　</w:t>
      </w:r>
    </w:p>
    <w:p>
      <w:pPr>
        <w:numPr>
          <w:ilvl w:val="0"/>
          <w:numId w:val="2"/>
        </w:numPr>
        <w:tabs>
          <w:tab w:val="clear" w:pos="312"/>
        </w:tabs>
        <w:ind w:left="0" w:leftChars="0" w:firstLine="240" w:firstLineChars="100"/>
        <w:jc w:val="both"/>
        <w:rPr>
          <w:rFonts w:ascii="微软雅黑" w:hAnsi="微软雅黑" w:eastAsia="微软雅黑" w:cs="微软雅黑"/>
          <w:b w:val="0"/>
          <w:i w:val="0"/>
          <w:caps w:val="0"/>
          <w:color w:val="auto"/>
          <w:spacing w:val="0"/>
          <w:sz w:val="24"/>
          <w:szCs w:val="24"/>
        </w:rPr>
      </w:pPr>
      <w:r>
        <w:rPr>
          <w:rFonts w:ascii="微软雅黑" w:hAnsi="微软雅黑" w:eastAsia="微软雅黑" w:cs="微软雅黑"/>
          <w:b w:val="0"/>
          <w:i w:val="0"/>
          <w:caps w:val="0"/>
          <w:color w:val="auto"/>
          <w:spacing w:val="0"/>
          <w:sz w:val="24"/>
          <w:szCs w:val="24"/>
        </w:rPr>
        <w:t>送审的本专业论著必须为独撰，以副主编、编委等身份参与著作编写人员不作为评审专业技术资格的著作依据。 　　</w:t>
      </w:r>
    </w:p>
    <w:p>
      <w:pPr>
        <w:numPr>
          <w:ilvl w:val="0"/>
          <w:numId w:val="0"/>
        </w:numPr>
        <w:ind w:leftChars="100"/>
        <w:jc w:val="both"/>
        <w:rPr>
          <w:rFonts w:hint="eastAsia" w:ascii="微软雅黑" w:hAnsi="微软雅黑" w:eastAsia="微软雅黑" w:cs="微软雅黑"/>
          <w:b w:val="0"/>
          <w:i w:val="0"/>
          <w:caps w:val="0"/>
          <w:color w:val="auto"/>
          <w:spacing w:val="0"/>
          <w:sz w:val="24"/>
          <w:szCs w:val="24"/>
          <w:lang w:val="en-US" w:eastAsia="zh-CN"/>
        </w:rPr>
      </w:pPr>
      <w:r>
        <w:rPr>
          <w:rFonts w:ascii="微软雅黑" w:hAnsi="微软雅黑" w:eastAsia="微软雅黑" w:cs="微软雅黑"/>
          <w:b w:val="0"/>
          <w:i w:val="0"/>
          <w:caps w:val="0"/>
          <w:color w:val="auto"/>
          <w:spacing w:val="0"/>
          <w:sz w:val="24"/>
          <w:szCs w:val="24"/>
        </w:rPr>
        <w:t>7.期刊分级原则上执行《关于印发江西省卫生高级职称评审医学杂志分级汇总表（试行)的通知》（赣卫人字〔2013〕12号)规定。</w:t>
      </w:r>
    </w:p>
    <w:p>
      <w:pPr>
        <w:spacing w:line="600" w:lineRule="auto"/>
        <w:jc w:val="both"/>
        <w:rPr>
          <w:color w:val="auto"/>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58240" behindDoc="1" locked="0" layoutInCell="1" allowOverlap="1">
          <wp:simplePos x="0" y="0"/>
          <wp:positionH relativeFrom="column">
            <wp:posOffset>-1139190</wp:posOffset>
          </wp:positionH>
          <wp:positionV relativeFrom="paragraph">
            <wp:posOffset>-542925</wp:posOffset>
          </wp:positionV>
          <wp:extent cx="7566660" cy="10701655"/>
          <wp:effectExtent l="0" t="0" r="15240" b="4445"/>
          <wp:wrapNone/>
          <wp:docPr id="1" name="图片 1" descr="底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底业-01"/>
                  <pic:cNvPicPr>
                    <a:picLocks noChangeAspect="1"/>
                  </pic:cNvPicPr>
                </pic:nvPicPr>
                <pic:blipFill>
                  <a:blip r:embed="rId1"/>
                  <a:stretch>
                    <a:fillRect/>
                  </a:stretch>
                </pic:blipFill>
                <pic:spPr>
                  <a:xfrm>
                    <a:off x="0" y="0"/>
                    <a:ext cx="7566660" cy="107016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73E89"/>
    <w:multiLevelType w:val="singleLevel"/>
    <w:tmpl w:val="5AA73E89"/>
    <w:lvl w:ilvl="0" w:tentative="0">
      <w:start w:val="1"/>
      <w:numFmt w:val="decimal"/>
      <w:suff w:val="nothing"/>
      <w:lvlText w:val="%1、"/>
      <w:lvlJc w:val="left"/>
    </w:lvl>
  </w:abstractNum>
  <w:abstractNum w:abstractNumId="1">
    <w:nsid w:val="5AA73EA5"/>
    <w:multiLevelType w:val="singleLevel"/>
    <w:tmpl w:val="5AA73EA5"/>
    <w:lvl w:ilvl="0" w:tentative="0">
      <w:start w:val="1"/>
      <w:numFmt w:val="decimal"/>
      <w:lvlText w:val="%1."/>
      <w:lvlJc w:val="left"/>
      <w:pPr>
        <w:tabs>
          <w:tab w:val="left" w:pos="312"/>
        </w:tabs>
      </w:pPr>
    </w:lvl>
  </w:abstractNum>
  <w:abstractNum w:abstractNumId="2">
    <w:nsid w:val="5AA73EC6"/>
    <w:multiLevelType w:val="singleLevel"/>
    <w:tmpl w:val="5AA73EC6"/>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86EC1"/>
    <w:rsid w:val="364D3F8E"/>
    <w:rsid w:val="3D0E4E98"/>
    <w:rsid w:val="4D5C5771"/>
    <w:rsid w:val="51386E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2018-03-13T06:32:00Z</dcterms:created>
  <dc:creator>IN1419498212</dc:creator>
  <cp:lastModifiedBy>IN1419498212</cp:lastModifiedBy>
  <dcterms:modified xsi:type="dcterms:W3CDTF">2018-03-13T08:39:52Z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